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center"/>
        <w:rPr>
          <w:rFonts w:ascii="Times New Roman" w:cs="Times New Roman" w:eastAsia="Times New Roman" w:hAnsi="Times New Roman"/>
          <w:b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sz w:val="28"/>
          <w:szCs w:val="28"/>
          <w:rtl w:val="0"/>
        </w:rPr>
        <w:t xml:space="preserve">Guide des mélangeurs</w:t>
      </w:r>
    </w:p>
    <w:p w:rsidR="00000000" w:rsidDel="00000000" w:rsidP="00000000" w:rsidRDefault="00000000" w:rsidRPr="00000000" w14:paraId="00000002">
      <w:pPr>
        <w:jc w:val="center"/>
        <w:rPr>
          <w:rFonts w:ascii="Times New Roman" w:cs="Times New Roman" w:eastAsia="Times New Roman" w:hAnsi="Times New Roman"/>
          <w:b w:val="1"/>
          <w:i w:val="1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sz w:val="28"/>
          <w:szCs w:val="28"/>
          <w:rtl w:val="0"/>
        </w:rPr>
        <w:t xml:space="preserve">Mixer Guide</w:t>
      </w:r>
    </w:p>
    <w:p w:rsidR="00000000" w:rsidDel="00000000" w:rsidP="00000000" w:rsidRDefault="00000000" w:rsidRPr="00000000" w14:paraId="0000000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Voici un guide pour bien comprendre les mélangeurs.</w:t>
      </w:r>
    </w:p>
    <w:p w:rsidR="00000000" w:rsidDel="00000000" w:rsidP="00000000" w:rsidRDefault="00000000" w:rsidRPr="00000000" w14:paraId="00000004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Les mélanges se font avec 45% de foin/herbe(11 250l), 45% d’ensilage de maïs/foin(11 250l) et 10% de paille(2500l) pour un total de 25 000l de ration.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Here is a guide to fully understanding mixers.</w:t>
      </w:r>
    </w:p>
    <w:p w:rsidR="00000000" w:rsidDel="00000000" w:rsidP="00000000" w:rsidRDefault="00000000" w:rsidRPr="00000000" w14:paraId="00000006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The mixtures are made with 45% hay / grass (11,250l), 45% corn silage / hay (11,250l) and 10% straw (2500l) for a total of 25,000l of ration.</w:t>
      </w:r>
    </w:p>
    <w:p w:rsidR="00000000" w:rsidDel="00000000" w:rsidP="00000000" w:rsidRDefault="00000000" w:rsidRPr="00000000" w14:paraId="00000007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-Ceci est le menu qui s’ouvre près de l’indicateur . Il sert à démarrer et arrêter le mélangeur ainsi que d’acheter les ingrédients au besoin.</w:t>
      </w:r>
    </w:p>
    <w:p w:rsidR="00000000" w:rsidDel="00000000" w:rsidP="00000000" w:rsidRDefault="00000000" w:rsidRPr="00000000" w14:paraId="00000009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-This is the menu that opens near the indicator. It is used to start and stop the blender as well as to purchase ingredients as needed.</w:t>
      </w:r>
    </w:p>
    <w:p w:rsidR="00000000" w:rsidDel="00000000" w:rsidP="00000000" w:rsidRDefault="00000000" w:rsidRPr="00000000" w14:paraId="0000000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3581400"/>
            <wp:effectExtent b="0" l="0" r="0" t="0"/>
            <wp:docPr id="2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9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-Ici, c’est où qu’il faut décharger l’ensilage d’herbe ou de maïs pour qu’elle fermente. On peut aussi y décharger l’ensilage fermentée. Le blower n’est pas nécessaire. </w:t>
      </w:r>
    </w:p>
    <w:p w:rsidR="00000000" w:rsidDel="00000000" w:rsidP="00000000" w:rsidRDefault="00000000" w:rsidRPr="00000000" w14:paraId="00000020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-Here is where the grass silage or corn silage must be unloaded to ferment. Fermented silage can also be unloaded here. The blower is not necessary.</w:t>
      </w:r>
    </w:p>
    <w:p w:rsidR="00000000" w:rsidDel="00000000" w:rsidP="00000000" w:rsidRDefault="00000000" w:rsidRPr="00000000" w14:paraId="0000002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3581400"/>
            <wp:effectExtent b="0" l="0" r="0" t="0"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-Dans le mélangeur, on peut y mettre les balles d’herbe, de foin, de paille et d’ensilage. Malheureusement, les balles d’herbe iront dans la catégorie ensilage du mélange. </w:t>
      </w:r>
    </w:p>
    <w:p w:rsidR="00000000" w:rsidDel="00000000" w:rsidP="00000000" w:rsidRDefault="00000000" w:rsidRPr="00000000" w14:paraId="00000023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-In the mixer, you can put the bales of grass, hay, straw and silage. Unfortunately, the grass bales will go into the silage category of the mix.</w:t>
      </w:r>
    </w:p>
    <w:p w:rsidR="00000000" w:rsidDel="00000000" w:rsidP="00000000" w:rsidRDefault="00000000" w:rsidRPr="00000000" w14:paraId="00000024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3581400"/>
            <wp:effectExtent b="0" l="0" r="0" t="0"/>
            <wp:docPr id="1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-Ici est l’endroit où on décharge le foin, la paille et l’herbe en vrac si vous préférez cette méthode. </w:t>
      </w:r>
    </w:p>
    <w:p w:rsidR="00000000" w:rsidDel="00000000" w:rsidP="00000000" w:rsidRDefault="00000000" w:rsidRPr="00000000" w14:paraId="00000029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-This is the place to unload loose hay, straw and grass if you prefer this method.</w:t>
      </w:r>
    </w:p>
    <w:p w:rsidR="00000000" w:rsidDel="00000000" w:rsidP="00000000" w:rsidRDefault="00000000" w:rsidRPr="00000000" w14:paraId="0000002A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3581400"/>
            <wp:effectExtent b="0" l="0" r="0" t="0"/>
            <wp:docPr id="3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C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Pour charger, suffit de se placer sous ce convoyeur </w:t>
      </w:r>
    </w:p>
    <w:p w:rsidR="00000000" w:rsidDel="00000000" w:rsidP="00000000" w:rsidRDefault="00000000" w:rsidRPr="00000000" w14:paraId="0000002D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To load, just stand under this conveyor</w:t>
      </w:r>
    </w:p>
    <w:p w:rsidR="00000000" w:rsidDel="00000000" w:rsidP="00000000" w:rsidRDefault="00000000" w:rsidRPr="00000000" w14:paraId="0000002E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3581400"/>
            <wp:effectExtent b="0" l="0" r="0" t="0"/>
            <wp:docPr id="6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  <w:rtl w:val="0"/>
        </w:rPr>
        <w:t xml:space="preserve">-Le mélangeur peut se placer dans n’importe quelle remise à l’aide du Placement intelligent du Global company</w:t>
      </w:r>
    </w:p>
    <w:p w:rsidR="00000000" w:rsidDel="00000000" w:rsidP="00000000" w:rsidRDefault="00000000" w:rsidRPr="00000000" w14:paraId="00000034">
      <w:pPr>
        <w:rPr>
          <w:rFonts w:ascii="Times New Roman" w:cs="Times New Roman" w:eastAsia="Times New Roman" w:hAnsi="Times New Roman"/>
          <w:i w:val="1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i w:val="1"/>
          <w:sz w:val="24"/>
          <w:szCs w:val="24"/>
          <w:rtl w:val="0"/>
        </w:rPr>
        <w:t xml:space="preserve">-The mixer can be placed in any shed using the Global Company's Smart Placement</w:t>
      </w:r>
    </w:p>
    <w:p w:rsidR="00000000" w:rsidDel="00000000" w:rsidP="00000000" w:rsidRDefault="00000000" w:rsidRPr="00000000" w14:paraId="00000035">
      <w:pPr>
        <w:rPr>
          <w:rFonts w:ascii="Times New Roman" w:cs="Times New Roman" w:eastAsia="Times New Roman" w:hAnsi="Times New Roman"/>
          <w:sz w:val="24"/>
          <w:szCs w:val="24"/>
        </w:rPr>
      </w:pPr>
      <w:r w:rsidDel="00000000" w:rsidR="00000000" w:rsidRPr="00000000">
        <w:rPr>
          <w:rFonts w:ascii="Times New Roman" w:cs="Times New Roman" w:eastAsia="Times New Roman" w:hAnsi="Times New Roman"/>
          <w:sz w:val="24"/>
          <w:szCs w:val="24"/>
        </w:rPr>
        <w:drawing>
          <wp:inline distB="114300" distT="114300" distL="114300" distR="114300">
            <wp:extent cx="5731200" cy="3581400"/>
            <wp:effectExtent b="0" l="0" r="0" t="0"/>
            <wp:docPr id="5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31200" cy="35814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4" w:w="11909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fr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6.png"/><Relationship Id="rId10" Type="http://schemas.openxmlformats.org/officeDocument/2006/relationships/image" Target="media/image3.png"/><Relationship Id="rId9" Type="http://schemas.openxmlformats.org/officeDocument/2006/relationships/image" Target="media/image4.png"/><Relationship Id="rId5" Type="http://schemas.openxmlformats.org/officeDocument/2006/relationships/styles" Target="styles.xml"/><Relationship Id="rId6" Type="http://schemas.openxmlformats.org/officeDocument/2006/relationships/image" Target="media/image5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